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50F" w:rsidRDefault="00C9250F" w:rsidP="00504A3B">
      <w:bookmarkStart w:id="0" w:name="_GoBack"/>
      <w:bookmarkEnd w:id="0"/>
    </w:p>
    <w:p w:rsidR="00C0006D" w:rsidRPr="008B7D11" w:rsidRDefault="00C0006D" w:rsidP="00C0006D">
      <w:pPr>
        <w:shd w:val="clear" w:color="auto" w:fill="5F0C0E"/>
        <w:spacing w:after="0" w:line="240" w:lineRule="auto"/>
        <w:rPr>
          <w:rFonts w:cs="Times New Roman"/>
          <w:b/>
          <w:color w:val="FFFFFF" w:themeColor="background1"/>
          <w:sz w:val="24"/>
          <w:szCs w:val="24"/>
        </w:rPr>
      </w:pPr>
      <w:r w:rsidRPr="008B7D11">
        <w:rPr>
          <w:rFonts w:cs="Times New Roman"/>
          <w:b/>
          <w:color w:val="FFFFFF" w:themeColor="background1"/>
          <w:sz w:val="26"/>
          <w:szCs w:val="26"/>
        </w:rPr>
        <w:t>For Immediate Release:</w:t>
      </w:r>
      <w:r w:rsidRPr="008B7D11">
        <w:rPr>
          <w:rFonts w:cs="Times New Roman"/>
          <w:b/>
          <w:color w:val="FFFFFF" w:themeColor="background1"/>
          <w:sz w:val="24"/>
          <w:szCs w:val="24"/>
        </w:rPr>
        <w:t xml:space="preserve"> </w:t>
      </w:r>
      <w:r w:rsidRPr="008B7D11">
        <w:rPr>
          <w:rFonts w:cs="Times New Roman"/>
          <w:b/>
          <w:color w:val="FFFFFF" w:themeColor="background1"/>
          <w:sz w:val="24"/>
          <w:szCs w:val="24"/>
        </w:rPr>
        <w:tab/>
      </w:r>
      <w:r w:rsidRPr="008B7D11">
        <w:rPr>
          <w:rFonts w:cs="Times New Roman"/>
          <w:b/>
          <w:color w:val="FFFFFF" w:themeColor="background1"/>
          <w:sz w:val="24"/>
          <w:szCs w:val="24"/>
        </w:rPr>
        <w:tab/>
      </w:r>
      <w:r w:rsidRPr="008B7D11">
        <w:rPr>
          <w:rFonts w:cs="Times New Roman"/>
          <w:b/>
          <w:color w:val="FFFFFF" w:themeColor="background1"/>
          <w:sz w:val="24"/>
          <w:szCs w:val="24"/>
        </w:rPr>
        <w:tab/>
      </w:r>
      <w:r w:rsidRPr="008B7D11">
        <w:rPr>
          <w:rFonts w:cs="Times New Roman"/>
          <w:b/>
          <w:color w:val="FFFFFF" w:themeColor="background1"/>
          <w:sz w:val="24"/>
          <w:szCs w:val="24"/>
        </w:rPr>
        <w:tab/>
      </w:r>
      <w:r w:rsidRPr="008B7D11">
        <w:rPr>
          <w:rFonts w:cs="Times New Roman"/>
          <w:b/>
          <w:color w:val="FFFFFF" w:themeColor="background1"/>
          <w:sz w:val="26"/>
          <w:szCs w:val="26"/>
        </w:rPr>
        <w:t>Contact:</w:t>
      </w:r>
      <w:r w:rsidR="004B3EE3">
        <w:rPr>
          <w:rFonts w:cs="Times New Roman"/>
          <w:b/>
          <w:color w:val="FFFFFF" w:themeColor="background1"/>
          <w:sz w:val="26"/>
          <w:szCs w:val="26"/>
        </w:rPr>
        <w:t xml:space="preserve"> Judi Henckel 269-729-5151</w:t>
      </w:r>
    </w:p>
    <w:p w:rsidR="00C0006D" w:rsidRDefault="00C0006D" w:rsidP="00C0006D">
      <w:pPr>
        <w:spacing w:after="0" w:line="240" w:lineRule="auto"/>
        <w:rPr>
          <w:rFonts w:cs="Times New Roman"/>
          <w:sz w:val="24"/>
          <w:szCs w:val="24"/>
        </w:rPr>
      </w:pPr>
      <w:r>
        <w:rPr>
          <w:rFonts w:cs="Times New Roman"/>
          <w:sz w:val="24"/>
          <w:szCs w:val="24"/>
        </w:rPr>
        <w:t xml:space="preserve">Date: </w:t>
      </w:r>
      <w:r w:rsidR="00D27F63">
        <w:rPr>
          <w:rFonts w:cs="Times New Roman"/>
          <w:sz w:val="24"/>
          <w:szCs w:val="24"/>
        </w:rPr>
        <w:t>September 29</w:t>
      </w:r>
      <w:r w:rsidR="0093273C">
        <w:rPr>
          <w:rFonts w:cs="Times New Roman"/>
          <w:sz w:val="24"/>
          <w:szCs w:val="24"/>
        </w:rPr>
        <w:t>, 2016</w:t>
      </w:r>
    </w:p>
    <w:p w:rsidR="00C0006D" w:rsidRDefault="00C0006D" w:rsidP="00C0006D">
      <w:pPr>
        <w:spacing w:after="0" w:line="240" w:lineRule="auto"/>
        <w:rPr>
          <w:rFonts w:ascii="Frutiger LT Std 55 Roman" w:hAnsi="Frutiger LT Std 55 Roman" w:cs="Times New Roman"/>
          <w:sz w:val="24"/>
          <w:szCs w:val="24"/>
        </w:rPr>
      </w:pPr>
    </w:p>
    <w:p w:rsidR="00003C29" w:rsidRPr="00E10083" w:rsidRDefault="00FA782D" w:rsidP="00244F29">
      <w:pPr>
        <w:spacing w:after="0" w:line="240" w:lineRule="auto"/>
        <w:jc w:val="center"/>
        <w:rPr>
          <w:rFonts w:cs="Times New Roman"/>
        </w:rPr>
      </w:pPr>
      <w:r>
        <w:rPr>
          <w:rFonts w:ascii="Frutiger LT Std 87 ExtraBlk Cn" w:hAnsi="Frutiger LT Std 87 ExtraBlk Cn" w:cs="Times New Roman"/>
          <w:b/>
        </w:rPr>
        <w:t>NHBP Gaming Commissioner, Shirley English,</w:t>
      </w:r>
      <w:r w:rsidR="0093273C">
        <w:rPr>
          <w:rFonts w:ascii="Frutiger LT Std 87 ExtraBlk Cn" w:hAnsi="Frutiger LT Std 87 ExtraBlk Cn" w:cs="Times New Roman"/>
          <w:b/>
        </w:rPr>
        <w:t xml:space="preserve"> Recognized with National Award</w:t>
      </w:r>
    </w:p>
    <w:p w:rsidR="00003C29" w:rsidRPr="00E10083" w:rsidRDefault="00003C29" w:rsidP="00003C29">
      <w:pPr>
        <w:spacing w:after="0" w:line="240" w:lineRule="auto"/>
        <w:rPr>
          <w:rFonts w:cs="Times New Roman"/>
        </w:rPr>
      </w:pPr>
    </w:p>
    <w:p w:rsidR="00672BF3" w:rsidRDefault="0093273C" w:rsidP="00E10083">
      <w:r>
        <w:t xml:space="preserve">Pine Creek Indian Reservation (Fulton, Mich.) – The </w:t>
      </w:r>
      <w:proofErr w:type="spellStart"/>
      <w:r>
        <w:t>Nottawaseppi</w:t>
      </w:r>
      <w:proofErr w:type="spellEnd"/>
      <w:r>
        <w:t xml:space="preserve"> Huron Band of the Potawatomi (NHBP), owners of the FireKeepers Casino Hotel in Battle Creek, Mich., </w:t>
      </w:r>
      <w:r w:rsidR="00A81488">
        <w:t xml:space="preserve">is proud to announce </w:t>
      </w:r>
      <w:r>
        <w:t xml:space="preserve">that Tribal Member and Vice-Chair of the NHBP Gaming Commission, </w:t>
      </w:r>
      <w:r w:rsidR="00291ACF">
        <w:t>Shirley</w:t>
      </w:r>
      <w:r>
        <w:t xml:space="preserve"> English </w:t>
      </w:r>
      <w:proofErr w:type="gramStart"/>
      <w:r>
        <w:t>was presented</w:t>
      </w:r>
      <w:proofErr w:type="gramEnd"/>
      <w:r>
        <w:t xml:space="preserve"> with the Regulator of the Year award by National Indian Gaming Association (NIGA) Chairman Ernest Stevens Jr. The award ceremony </w:t>
      </w:r>
      <w:proofErr w:type="gramStart"/>
      <w:r w:rsidR="00F117B1">
        <w:t>was held</w:t>
      </w:r>
      <w:proofErr w:type="gramEnd"/>
      <w:r w:rsidR="00F117B1">
        <w:t xml:space="preserve"> </w:t>
      </w:r>
      <w:r>
        <w:t xml:space="preserve">at the Global Gaming </w:t>
      </w:r>
      <w:r w:rsidR="00A81488">
        <w:t xml:space="preserve">Expo </w:t>
      </w:r>
      <w:r>
        <w:t>September 27 in Las Vegas, Nevada.</w:t>
      </w:r>
    </w:p>
    <w:p w:rsidR="0093273C" w:rsidRDefault="0093273C" w:rsidP="00E10083">
      <w:r>
        <w:t>The N</w:t>
      </w:r>
      <w:r w:rsidR="003B0B04">
        <w:t xml:space="preserve">IGA </w:t>
      </w:r>
      <w:r w:rsidR="003B0B04" w:rsidRPr="003B0B04">
        <w:t>is an inter-tribal association of 184 federally recognized Indian Tribes united with the mission of protecting and preserving tribal sovereignty and the ability of Tribes to attain economic self-sufficiency through gaming and other forms of economic development. NIGA operates as an educational, legislative, and public policy resource for tribal policy makers as well as the public, on issues related to Indian gaming and tribal community development.</w:t>
      </w:r>
    </w:p>
    <w:p w:rsidR="00291ACF" w:rsidRDefault="00291ACF" w:rsidP="00E10083">
      <w:r>
        <w:t>In English’s role as Vice-Chair of the NHBP Gaming Commission, it is her responsibility to prom</w:t>
      </w:r>
      <w:r w:rsidR="00F117B1">
        <w:t>ote Tribal economic development</w:t>
      </w:r>
      <w:r w:rsidR="00F63685">
        <w:t xml:space="preserve"> and </w:t>
      </w:r>
      <w:r>
        <w:t>s</w:t>
      </w:r>
      <w:r w:rsidR="00F117B1">
        <w:t>e</w:t>
      </w:r>
      <w:r>
        <w:t>lf-sufficiency</w:t>
      </w:r>
      <w:r w:rsidR="00A81488">
        <w:t xml:space="preserve">. She also helps </w:t>
      </w:r>
      <w:r w:rsidR="00F63685">
        <w:t>m</w:t>
      </w:r>
      <w:r w:rsidR="00F117B1">
        <w:t>aintain the integrity of Indian gaming and ensure</w:t>
      </w:r>
      <w:r w:rsidR="00A81488">
        <w:t>s</w:t>
      </w:r>
      <w:r w:rsidR="00F117B1">
        <w:t xml:space="preserve"> that NHBP is the primary beneficiary of its gaming activities</w:t>
      </w:r>
      <w:r w:rsidR="00F63685">
        <w:t xml:space="preserve">. This </w:t>
      </w:r>
      <w:proofErr w:type="gramStart"/>
      <w:r w:rsidR="00F63685">
        <w:t>is done</w:t>
      </w:r>
      <w:proofErr w:type="gramEnd"/>
      <w:r w:rsidR="00F63685">
        <w:t xml:space="preserve"> </w:t>
      </w:r>
      <w:r w:rsidR="00F117B1">
        <w:t xml:space="preserve">in a manner that promotes and preserves the </w:t>
      </w:r>
      <w:proofErr w:type="spellStart"/>
      <w:r w:rsidR="00F117B1">
        <w:t>Bodéwadmi</w:t>
      </w:r>
      <w:proofErr w:type="spellEnd"/>
      <w:r w:rsidR="00F117B1">
        <w:t xml:space="preserve"> values and traditions. The NHBP Gaming Commission strives to </w:t>
      </w:r>
      <w:proofErr w:type="gramStart"/>
      <w:r w:rsidR="00F117B1">
        <w:t>be guided</w:t>
      </w:r>
      <w:proofErr w:type="gramEnd"/>
      <w:r w:rsidR="00F117B1">
        <w:t xml:space="preserve"> by the Seven Grandfather Teachings </w:t>
      </w:r>
      <w:r w:rsidR="00F117B1" w:rsidRPr="00F117B1">
        <w:t xml:space="preserve">of </w:t>
      </w:r>
      <w:proofErr w:type="spellStart"/>
      <w:r w:rsidR="00F117B1" w:rsidRPr="00F117B1">
        <w:t>Debanawen</w:t>
      </w:r>
      <w:proofErr w:type="spellEnd"/>
      <w:r w:rsidR="00F117B1" w:rsidRPr="00F117B1">
        <w:t xml:space="preserve"> (Love), </w:t>
      </w:r>
      <w:proofErr w:type="spellStart"/>
      <w:r w:rsidR="00F117B1" w:rsidRPr="00F117B1">
        <w:t>Wdetanmowen</w:t>
      </w:r>
      <w:proofErr w:type="spellEnd"/>
      <w:r w:rsidR="00F117B1" w:rsidRPr="00F117B1">
        <w:t xml:space="preserve"> (Respect), </w:t>
      </w:r>
      <w:proofErr w:type="spellStart"/>
      <w:r w:rsidR="00F117B1" w:rsidRPr="00F117B1">
        <w:t>Wédaséwen</w:t>
      </w:r>
      <w:proofErr w:type="spellEnd"/>
      <w:r w:rsidR="00F117B1" w:rsidRPr="00F117B1">
        <w:t xml:space="preserve"> (Bravery), </w:t>
      </w:r>
      <w:proofErr w:type="spellStart"/>
      <w:r w:rsidR="00F117B1" w:rsidRPr="00F117B1">
        <w:t>Débwéwen</w:t>
      </w:r>
      <w:proofErr w:type="spellEnd"/>
      <w:r w:rsidR="00F117B1" w:rsidRPr="00F117B1">
        <w:t xml:space="preserve"> (Truth), </w:t>
      </w:r>
      <w:proofErr w:type="spellStart"/>
      <w:r w:rsidR="00F117B1" w:rsidRPr="00F117B1">
        <w:t>Gwékwadsewen</w:t>
      </w:r>
      <w:proofErr w:type="spellEnd"/>
      <w:r w:rsidR="00F117B1" w:rsidRPr="00F117B1">
        <w:t xml:space="preserve"> (Honesty), </w:t>
      </w:r>
      <w:proofErr w:type="spellStart"/>
      <w:r w:rsidR="00F117B1" w:rsidRPr="00F117B1">
        <w:t>Èdbésendowen</w:t>
      </w:r>
      <w:proofErr w:type="spellEnd"/>
      <w:r w:rsidR="00F117B1" w:rsidRPr="00F117B1">
        <w:t xml:space="preserve"> (Humility) and </w:t>
      </w:r>
      <w:proofErr w:type="spellStart"/>
      <w:r w:rsidR="00F117B1" w:rsidRPr="00F117B1">
        <w:t>Bwakawen</w:t>
      </w:r>
      <w:proofErr w:type="spellEnd"/>
      <w:r w:rsidR="00F117B1" w:rsidRPr="00F117B1">
        <w:t xml:space="preserve"> (Wisdom).</w:t>
      </w:r>
    </w:p>
    <w:p w:rsidR="00F117B1" w:rsidRDefault="00F117B1" w:rsidP="00E10083">
      <w:r>
        <w:t xml:space="preserve">Shirley English grew up </w:t>
      </w:r>
      <w:r w:rsidR="00A81488">
        <w:t xml:space="preserve">on </w:t>
      </w:r>
      <w:r>
        <w:t>the Pine Creek Indian Reservation. She has served various roles on Tribal Council s</w:t>
      </w:r>
      <w:r w:rsidR="00A81488">
        <w:t xml:space="preserve">tarting in </w:t>
      </w:r>
      <w:r w:rsidR="001B0BAC">
        <w:t xml:space="preserve">the </w:t>
      </w:r>
      <w:r>
        <w:t>late 1960</w:t>
      </w:r>
      <w:r w:rsidR="00A81488">
        <w:t>s</w:t>
      </w:r>
      <w:r>
        <w:t>. Her last position with Tribal Council was as Tribal Council Chairwoman</w:t>
      </w:r>
      <w:r w:rsidR="00A81488">
        <w:t xml:space="preserve"> in 1995</w:t>
      </w:r>
      <w:r>
        <w:t xml:space="preserve">. During that </w:t>
      </w:r>
      <w:r w:rsidR="00F63685">
        <w:t>tenure,</w:t>
      </w:r>
      <w:r>
        <w:t xml:space="preserve"> she was able to achieve Federal Recognition for the NHBP. </w:t>
      </w:r>
      <w:r w:rsidR="00F63685">
        <w:t xml:space="preserve">English </w:t>
      </w:r>
      <w:proofErr w:type="gramStart"/>
      <w:r>
        <w:t>was recently reappointed</w:t>
      </w:r>
      <w:proofErr w:type="gramEnd"/>
      <w:r>
        <w:t xml:space="preserve"> as Vice-Chair of the NHBP Gaming Commission. She has two sons, eight grandchildren and four great grandchildren.</w:t>
      </w:r>
    </w:p>
    <w:p w:rsidR="00C0006D" w:rsidRPr="00E10083" w:rsidRDefault="00672BF3" w:rsidP="00672BF3">
      <w:pPr>
        <w:jc w:val="center"/>
        <w:rPr>
          <w:rFonts w:cs="Times New Roman"/>
        </w:rPr>
      </w:pPr>
      <w:r>
        <w:t>#</w:t>
      </w:r>
      <w:r w:rsidR="00C0006D" w:rsidRPr="00E10083">
        <w:rPr>
          <w:rFonts w:cs="Times New Roman"/>
        </w:rPr>
        <w:t>##</w:t>
      </w:r>
    </w:p>
    <w:p w:rsidR="00C0006D" w:rsidRDefault="00C0006D" w:rsidP="00C0006D">
      <w:pPr>
        <w:spacing w:after="0" w:line="240" w:lineRule="auto"/>
        <w:jc w:val="center"/>
        <w:rPr>
          <w:rFonts w:cs="Times New Roman"/>
          <w:sz w:val="24"/>
          <w:szCs w:val="24"/>
        </w:rPr>
      </w:pPr>
    </w:p>
    <w:p w:rsidR="00C0006D" w:rsidRDefault="00C0006D" w:rsidP="00C0006D">
      <w:pPr>
        <w:spacing w:after="0" w:line="240" w:lineRule="auto"/>
        <w:rPr>
          <w:rFonts w:cs="Times New Roman"/>
          <w:sz w:val="20"/>
          <w:szCs w:val="20"/>
          <w:u w:val="single"/>
        </w:rPr>
      </w:pPr>
      <w:r>
        <w:rPr>
          <w:rFonts w:cs="Times New Roman"/>
          <w:sz w:val="20"/>
          <w:szCs w:val="20"/>
          <w:u w:val="single"/>
        </w:rPr>
        <w:t xml:space="preserve">About The </w:t>
      </w:r>
      <w:proofErr w:type="spellStart"/>
      <w:r>
        <w:rPr>
          <w:rFonts w:cs="Times New Roman"/>
          <w:sz w:val="20"/>
          <w:szCs w:val="20"/>
          <w:u w:val="single"/>
        </w:rPr>
        <w:t>Nottawaseppi</w:t>
      </w:r>
      <w:proofErr w:type="spellEnd"/>
      <w:r>
        <w:rPr>
          <w:rFonts w:cs="Times New Roman"/>
          <w:sz w:val="20"/>
          <w:szCs w:val="20"/>
          <w:u w:val="single"/>
        </w:rPr>
        <w:t xml:space="preserve"> Huron Band of the Potawatomi</w:t>
      </w:r>
    </w:p>
    <w:p w:rsidR="00C0006D" w:rsidRPr="00504A3B" w:rsidRDefault="004128C4" w:rsidP="00890150">
      <w:pPr>
        <w:spacing w:after="0" w:line="240" w:lineRule="auto"/>
      </w:pPr>
      <w:r>
        <w:rPr>
          <w:rFonts w:cs="Times New Roman"/>
          <w:sz w:val="20"/>
          <w:szCs w:val="20"/>
        </w:rPr>
        <w:t>There are nearly 1,2</w:t>
      </w:r>
      <w:r w:rsidR="00C0006D">
        <w:rPr>
          <w:rFonts w:cs="Times New Roman"/>
          <w:sz w:val="20"/>
          <w:szCs w:val="20"/>
        </w:rPr>
        <w:t xml:space="preserve">00 Tribal Members. The </w:t>
      </w:r>
      <w:proofErr w:type="spellStart"/>
      <w:r w:rsidR="00C0006D">
        <w:rPr>
          <w:rFonts w:cs="Times New Roman"/>
          <w:sz w:val="20"/>
          <w:szCs w:val="20"/>
        </w:rPr>
        <w:t>Nottawaseppi’s</w:t>
      </w:r>
      <w:proofErr w:type="spellEnd"/>
      <w:r w:rsidR="00C0006D">
        <w:rPr>
          <w:rFonts w:cs="Times New Roman"/>
          <w:sz w:val="20"/>
          <w:szCs w:val="20"/>
        </w:rPr>
        <w:t xml:space="preserve"> primary Indian Health and Bureau of Indians Affairs Service Area covers members in Allegan, Barry, Branch, Calhoun, Kalamazoo, Kent and Ottawa counties. The Tribe’s administrative office is located at the Pine Creek Reservation in Athens Township, with a satellite office in </w:t>
      </w:r>
      <w:r w:rsidR="00C0006D" w:rsidRPr="00D16EE0">
        <w:rPr>
          <w:rFonts w:cs="Times New Roman"/>
          <w:sz w:val="20"/>
          <w:szCs w:val="20"/>
          <w:u w:color="000000"/>
        </w:rPr>
        <w:t>Grand Rapids, Mich.</w:t>
      </w:r>
      <w:r w:rsidR="00C0006D">
        <w:rPr>
          <w:rFonts w:cs="Times New Roman"/>
          <w:sz w:val="20"/>
          <w:szCs w:val="20"/>
        </w:rPr>
        <w:t xml:space="preserve"> </w:t>
      </w:r>
      <w:proofErr w:type="gramStart"/>
      <w:r w:rsidR="00C0006D">
        <w:rPr>
          <w:rFonts w:cs="Times New Roman"/>
          <w:sz w:val="20"/>
          <w:szCs w:val="20"/>
        </w:rPr>
        <w:t>to better serve</w:t>
      </w:r>
      <w:proofErr w:type="gramEnd"/>
      <w:r w:rsidR="00C0006D">
        <w:rPr>
          <w:rFonts w:cs="Times New Roman"/>
          <w:sz w:val="20"/>
          <w:szCs w:val="20"/>
        </w:rPr>
        <w:t xml:space="preserve"> Members. For more information visit: </w:t>
      </w:r>
      <w:hyperlink r:id="rId8" w:history="1">
        <w:r w:rsidR="00C0006D">
          <w:rPr>
            <w:rStyle w:val="Hyperlink"/>
            <w:rFonts w:cs="Times New Roman"/>
            <w:sz w:val="20"/>
            <w:szCs w:val="20"/>
          </w:rPr>
          <w:t>www.nhbpi.com</w:t>
        </w:r>
      </w:hyperlink>
    </w:p>
    <w:sectPr w:rsidR="00C0006D" w:rsidRPr="00504A3B" w:rsidSect="00C9250F">
      <w:footerReference w:type="default" r:id="rId9"/>
      <w:headerReference w:type="first" r:id="rId10"/>
      <w:footerReference w:type="first" r:id="rId11"/>
      <w:pgSz w:w="12240" w:h="15840"/>
      <w:pgMar w:top="1440" w:right="1440" w:bottom="1440" w:left="1440" w:header="115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B01" w:rsidRDefault="007C7B01" w:rsidP="009C1FFC">
      <w:pPr>
        <w:spacing w:after="0" w:line="240" w:lineRule="auto"/>
      </w:pPr>
      <w:r>
        <w:separator/>
      </w:r>
    </w:p>
  </w:endnote>
  <w:endnote w:type="continuationSeparator" w:id="0">
    <w:p w:rsidR="007C7B01" w:rsidRDefault="007C7B01"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panose1 w:val="020B0406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Frutiger LT Std 55 Roman">
    <w:panose1 w:val="020B0602020204020204"/>
    <w:charset w:val="00"/>
    <w:family w:val="swiss"/>
    <w:notTrueType/>
    <w:pitch w:val="variable"/>
    <w:sig w:usb0="00000003" w:usb1="00000000" w:usb2="00000000" w:usb3="00000000" w:csb0="00000001" w:csb1="00000000"/>
  </w:font>
  <w:font w:name="Frutiger LT Std 87 ExtraBlk 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A" w:rsidRPr="0014709A" w:rsidRDefault="0014709A" w:rsidP="009C1FFC">
    <w:pPr>
      <w:pStyle w:val="Footer"/>
      <w:pBdr>
        <w:top w:val="single" w:sz="6" w:space="1" w:color="14A9A2"/>
      </w:pBdr>
      <w:jc w:val="center"/>
      <w:rPr>
        <w:rFonts w:ascii="Tahoma" w:hAnsi="Tahoma" w:cs="Tahoma"/>
        <w:sz w:val="14"/>
        <w:szCs w:val="14"/>
      </w:rPr>
    </w:pPr>
  </w:p>
  <w:p w:rsidR="0014709A" w:rsidRDefault="0014709A" w:rsidP="009C1FFC">
    <w:pPr>
      <w:pStyle w:val="Footer"/>
      <w:pBdr>
        <w:top w:val="single" w:sz="6" w:space="1" w:color="14A9A2"/>
      </w:pBdr>
      <w:jc w:val="center"/>
      <w:rPr>
        <w:rFonts w:ascii="Tahoma" w:hAnsi="Tahoma" w:cs="Tahoma"/>
        <w:color w:val="5F0C0E"/>
        <w:sz w:val="14"/>
        <w:szCs w:val="14"/>
      </w:rPr>
    </w:pPr>
    <w:r w:rsidRPr="0014709A">
      <w:rPr>
        <w:rFonts w:ascii="Tahoma" w:hAnsi="Tahoma" w:cs="Tahoma"/>
        <w:color w:val="5F0C0E"/>
        <w:sz w:val="14"/>
        <w:szCs w:val="14"/>
      </w:rPr>
      <w:t>PINE CREEK INDIAN RESERVATION</w:t>
    </w:r>
  </w:p>
  <w:p w:rsidR="001C748D" w:rsidRPr="0080318F" w:rsidRDefault="0014709A" w:rsidP="0080318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0F" w:rsidRDefault="00C9250F" w:rsidP="00C9250F">
    <w:pPr>
      <w:pStyle w:val="Footer"/>
      <w:pBdr>
        <w:top w:val="single" w:sz="6" w:space="1" w:color="14A9A2"/>
      </w:pBdr>
      <w:jc w:val="center"/>
      <w:rPr>
        <w:rFonts w:ascii="Tahoma" w:hAnsi="Tahoma" w:cs="Tahoma"/>
        <w:color w:val="5F0C0E"/>
        <w:sz w:val="14"/>
        <w:szCs w:val="14"/>
      </w:rPr>
    </w:pPr>
  </w:p>
  <w:p w:rsidR="00C9250F" w:rsidRDefault="00C9250F" w:rsidP="00C9250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PINE CREEK INDIAN RESERVATION</w:t>
    </w:r>
  </w:p>
  <w:p w:rsidR="00C9250F" w:rsidRPr="00C9250F" w:rsidRDefault="00C9250F" w:rsidP="00C9250F">
    <w:pPr>
      <w:pStyle w:val="Foote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B01" w:rsidRDefault="007C7B01" w:rsidP="009C1FFC">
      <w:pPr>
        <w:spacing w:after="0" w:line="240" w:lineRule="auto"/>
      </w:pPr>
      <w:r>
        <w:separator/>
      </w:r>
    </w:p>
  </w:footnote>
  <w:footnote w:type="continuationSeparator" w:id="0">
    <w:p w:rsidR="007C7B01" w:rsidRDefault="007C7B01"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0F" w:rsidRDefault="00C9250F">
    <w:pPr>
      <w:pStyle w:val="Header"/>
      <w:rPr>
        <w:rFonts w:ascii="Tahoma" w:hAnsi="Tahoma" w:cs="Tahoma"/>
        <w:sz w:val="14"/>
        <w:szCs w:val="14"/>
      </w:rPr>
    </w:pPr>
    <w:r w:rsidRPr="00C9250F">
      <w:rPr>
        <w:rFonts w:ascii="Tahoma" w:hAnsi="Tahoma" w:cs="Tahoma"/>
        <w:noProof/>
        <w:sz w:val="14"/>
        <w:szCs w:val="14"/>
      </w:rPr>
      <w:drawing>
        <wp:anchor distT="0" distB="0" distL="114300" distR="114300" simplePos="0" relativeHeight="251660288" behindDoc="0" locked="0" layoutInCell="1" allowOverlap="1" wp14:anchorId="70551465" wp14:editId="0AFC6B8B">
          <wp:simplePos x="0" y="0"/>
          <wp:positionH relativeFrom="margin">
            <wp:align>center</wp:align>
          </wp:positionH>
          <wp:positionV relativeFrom="paragraph">
            <wp:posOffset>-556895</wp:posOffset>
          </wp:positionV>
          <wp:extent cx="2990088" cy="740664"/>
          <wp:effectExtent l="0" t="0" r="1270" b="2540"/>
          <wp:wrapSquare wrapText="bothSides"/>
          <wp:docPr id="1" name="Picture 1"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50F" w:rsidRDefault="00C9250F">
    <w:pPr>
      <w:pStyle w:val="Header"/>
      <w:rPr>
        <w:rFonts w:ascii="Tahoma" w:hAnsi="Tahoma" w:cs="Tahoma"/>
        <w:sz w:val="14"/>
        <w:szCs w:val="14"/>
      </w:rPr>
    </w:pPr>
  </w:p>
  <w:p w:rsidR="007B1CF4" w:rsidRPr="00C9250F" w:rsidRDefault="007C001C">
    <w:pPr>
      <w:pStyle w:val="Header"/>
      <w:rPr>
        <w:rFonts w:ascii="Tahoma" w:hAnsi="Tahoma" w:cs="Tahoma"/>
        <w:b/>
        <w:color w:val="094425"/>
        <w:sz w:val="14"/>
        <w:szCs w:val="14"/>
      </w:rPr>
    </w:pPr>
    <w:r>
      <w:rPr>
        <w:rFonts w:ascii="Tahoma" w:hAnsi="Tahoma" w:cs="Tahoma"/>
        <w:b/>
        <w:color w:val="094425"/>
        <w:sz w:val="14"/>
        <w:szCs w:val="14"/>
      </w:rPr>
      <w:t>NONAWEN • COMMUNICATIONS</w:t>
    </w:r>
  </w:p>
  <w:p w:rsidR="00251EB9" w:rsidRPr="00C9250F" w:rsidRDefault="00973056" w:rsidP="00251EB9">
    <w:pPr>
      <w:pStyle w:val="Header"/>
      <w:pBdr>
        <w:top w:val="double" w:sz="6" w:space="1" w:color="14A9A2"/>
      </w:pBdr>
      <w:jc w:val="right"/>
      <w:rPr>
        <w:rFonts w:ascii="Tahoma" w:hAnsi="Tahoma" w:cs="Tahoma"/>
        <w:b/>
        <w:color w:val="5F0C0E"/>
        <w:sz w:val="24"/>
        <w:szCs w:val="24"/>
      </w:rPr>
    </w:pPr>
    <w:r>
      <w:rPr>
        <w:rFonts w:ascii="Tahoma" w:hAnsi="Tahoma" w:cs="Tahoma"/>
        <w:b/>
        <w:color w:val="5F0C0E"/>
        <w:sz w:val="24"/>
        <w:szCs w:val="24"/>
      </w:rPr>
      <w:t>MEDIA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55A09"/>
    <w:multiLevelType w:val="hybridMultilevel"/>
    <w:tmpl w:val="CAD8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5C4E2F"/>
    <w:multiLevelType w:val="hybridMultilevel"/>
    <w:tmpl w:val="D3BA30A0"/>
    <w:lvl w:ilvl="0" w:tplc="9152A0FE">
      <w:numFmt w:val="bullet"/>
      <w:lvlText w:val="•"/>
      <w:lvlJc w:val="left"/>
      <w:pPr>
        <w:ind w:left="1080" w:hanging="720"/>
      </w:pPr>
      <w:rPr>
        <w:rFonts w:ascii="Frutiger LT Std 47 Light Cn" w:eastAsiaTheme="minorHAnsi" w:hAnsi="Frutiger LT Std 47 Light 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9E5660"/>
    <w:multiLevelType w:val="hybridMultilevel"/>
    <w:tmpl w:val="25C2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ocumentProtection w:edit="readOnly"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03C29"/>
    <w:rsid w:val="00052891"/>
    <w:rsid w:val="00075C66"/>
    <w:rsid w:val="0014709A"/>
    <w:rsid w:val="00170BE6"/>
    <w:rsid w:val="001B0BAC"/>
    <w:rsid w:val="001B2A9E"/>
    <w:rsid w:val="001C748D"/>
    <w:rsid w:val="00244F29"/>
    <w:rsid w:val="00251EB9"/>
    <w:rsid w:val="00274540"/>
    <w:rsid w:val="00275AB8"/>
    <w:rsid w:val="00291ACF"/>
    <w:rsid w:val="002A3BB0"/>
    <w:rsid w:val="002B1B1C"/>
    <w:rsid w:val="002E269F"/>
    <w:rsid w:val="00302417"/>
    <w:rsid w:val="003B0B04"/>
    <w:rsid w:val="004128C4"/>
    <w:rsid w:val="00421F41"/>
    <w:rsid w:val="004B3EE3"/>
    <w:rsid w:val="004D1404"/>
    <w:rsid w:val="00504A3B"/>
    <w:rsid w:val="0053475E"/>
    <w:rsid w:val="0054431C"/>
    <w:rsid w:val="00672BF3"/>
    <w:rsid w:val="00687CF4"/>
    <w:rsid w:val="006B226A"/>
    <w:rsid w:val="00717E6E"/>
    <w:rsid w:val="007761AC"/>
    <w:rsid w:val="007B1CF4"/>
    <w:rsid w:val="007C001C"/>
    <w:rsid w:val="007C7B01"/>
    <w:rsid w:val="0080318F"/>
    <w:rsid w:val="00822197"/>
    <w:rsid w:val="0083765D"/>
    <w:rsid w:val="00890150"/>
    <w:rsid w:val="0093273C"/>
    <w:rsid w:val="00973056"/>
    <w:rsid w:val="009C1FFC"/>
    <w:rsid w:val="00A35D8C"/>
    <w:rsid w:val="00A81488"/>
    <w:rsid w:val="00B87F6D"/>
    <w:rsid w:val="00B87FB5"/>
    <w:rsid w:val="00C0006D"/>
    <w:rsid w:val="00C03774"/>
    <w:rsid w:val="00C73347"/>
    <w:rsid w:val="00C9250F"/>
    <w:rsid w:val="00CF4237"/>
    <w:rsid w:val="00D16EE0"/>
    <w:rsid w:val="00D27F63"/>
    <w:rsid w:val="00D415D6"/>
    <w:rsid w:val="00D75FDA"/>
    <w:rsid w:val="00DB29A8"/>
    <w:rsid w:val="00E10083"/>
    <w:rsid w:val="00E1339C"/>
    <w:rsid w:val="00E4487E"/>
    <w:rsid w:val="00E54AF4"/>
    <w:rsid w:val="00EF4275"/>
    <w:rsid w:val="00F00BA8"/>
    <w:rsid w:val="00F117B1"/>
    <w:rsid w:val="00F63685"/>
    <w:rsid w:val="00FA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B585D2F9-3DDE-45E7-9D7E-CA5494AD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table" w:styleId="TableGrid">
    <w:name w:val="Table Grid"/>
    <w:basedOn w:val="TableNormal"/>
    <w:uiPriority w:val="39"/>
    <w:rsid w:val="007C0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0006D"/>
    <w:rPr>
      <w:color w:val="0000FF"/>
      <w:u w:val="single"/>
    </w:rPr>
  </w:style>
  <w:style w:type="paragraph" w:styleId="ListParagraph">
    <w:name w:val="List Paragraph"/>
    <w:basedOn w:val="Normal"/>
    <w:uiPriority w:val="34"/>
    <w:qFormat/>
    <w:rsid w:val="004B3EE3"/>
    <w:pPr>
      <w:ind w:left="720"/>
      <w:contextualSpacing/>
    </w:pPr>
  </w:style>
  <w:style w:type="character" w:styleId="FollowedHyperlink">
    <w:name w:val="FollowedHyperlink"/>
    <w:basedOn w:val="DefaultParagraphFont"/>
    <w:uiPriority w:val="99"/>
    <w:semiHidden/>
    <w:unhideWhenUsed/>
    <w:rsid w:val="001B2A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bpi.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5441A-0CC5-449C-B497-6FA98E4B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389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Stanton</dc:creator>
  <cp:keywords/>
  <dc:description/>
  <cp:lastModifiedBy>Lynette Curtis</cp:lastModifiedBy>
  <cp:revision>4</cp:revision>
  <cp:lastPrinted>2015-05-14T20:19:00Z</cp:lastPrinted>
  <dcterms:created xsi:type="dcterms:W3CDTF">2016-09-29T13:00:00Z</dcterms:created>
  <dcterms:modified xsi:type="dcterms:W3CDTF">2016-09-29T14:13:00Z</dcterms:modified>
</cp:coreProperties>
</file>